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91"/>
        <w:gridCol w:w="4068"/>
        <w:gridCol w:w="721"/>
        <w:gridCol w:w="4363"/>
      </w:tblGrid>
      <w:tr w:rsidR="00C25F35" w:rsidTr="00441EF5">
        <w:tc>
          <w:tcPr>
            <w:tcW w:w="10343" w:type="dxa"/>
            <w:gridSpan w:val="4"/>
            <w:shd w:val="clear" w:color="auto" w:fill="D9D9D9" w:themeFill="background1" w:themeFillShade="D9"/>
          </w:tcPr>
          <w:p w:rsidR="00C25F35" w:rsidRPr="00C25F35" w:rsidRDefault="00C25F35" w:rsidP="00C25F35">
            <w:pPr>
              <w:jc w:val="center"/>
              <w:rPr>
                <w:b/>
                <w:sz w:val="24"/>
              </w:rPr>
            </w:pPr>
            <w:r w:rsidRPr="00C25F35">
              <w:rPr>
                <w:b/>
                <w:sz w:val="24"/>
              </w:rPr>
              <w:t>Document Approval</w:t>
            </w:r>
          </w:p>
        </w:tc>
      </w:tr>
      <w:tr w:rsidR="00C25F35" w:rsidTr="00C25F35">
        <w:tc>
          <w:tcPr>
            <w:tcW w:w="1191" w:type="dxa"/>
            <w:tcBorders>
              <w:right w:val="nil"/>
            </w:tcBorders>
            <w:vAlign w:val="center"/>
          </w:tcPr>
          <w:p w:rsidR="00C25F35" w:rsidRPr="00C25F35" w:rsidRDefault="00C25F35" w:rsidP="00C25F35">
            <w:pPr>
              <w:rPr>
                <w:b/>
              </w:rPr>
            </w:pPr>
            <w:r w:rsidRPr="00C25F35">
              <w:rPr>
                <w:b/>
                <w:sz w:val="24"/>
              </w:rPr>
              <w:t xml:space="preserve">Approval: </w:t>
            </w:r>
          </w:p>
        </w:tc>
        <w:tc>
          <w:tcPr>
            <w:tcW w:w="4068" w:type="dxa"/>
            <w:tcBorders>
              <w:left w:val="nil"/>
            </w:tcBorders>
            <w:vAlign w:val="center"/>
          </w:tcPr>
          <w:p w:rsidR="00C25F35" w:rsidRDefault="00C25F35" w:rsidP="00C25F35">
            <w:pPr>
              <w:rPr>
                <w:sz w:val="24"/>
              </w:rPr>
            </w:pPr>
          </w:p>
          <w:p w:rsidR="00387C3E" w:rsidRDefault="00387C3E" w:rsidP="00C25F35">
            <w:pPr>
              <w:rPr>
                <w:sz w:val="24"/>
              </w:rPr>
            </w:pPr>
            <w:r>
              <w:rPr>
                <w:sz w:val="24"/>
              </w:rPr>
              <w:t>Malcolm Kitching</w:t>
            </w:r>
          </w:p>
          <w:p w:rsidR="00B44876" w:rsidRPr="00C25F35" w:rsidRDefault="00B44876" w:rsidP="00C25F35">
            <w:pPr>
              <w:rPr>
                <w:sz w:val="24"/>
              </w:rPr>
            </w:pPr>
          </w:p>
        </w:tc>
        <w:tc>
          <w:tcPr>
            <w:tcW w:w="721" w:type="dxa"/>
            <w:tcBorders>
              <w:right w:val="nil"/>
            </w:tcBorders>
            <w:vAlign w:val="center"/>
          </w:tcPr>
          <w:p w:rsidR="00C25F35" w:rsidRPr="00C25F35" w:rsidRDefault="00C25F35" w:rsidP="00C25F35">
            <w:pPr>
              <w:rPr>
                <w:b/>
              </w:rPr>
            </w:pPr>
            <w:r w:rsidRPr="00C25F35">
              <w:rPr>
                <w:b/>
                <w:sz w:val="24"/>
              </w:rPr>
              <w:t>Sign:</w:t>
            </w:r>
          </w:p>
        </w:tc>
        <w:tc>
          <w:tcPr>
            <w:tcW w:w="4363" w:type="dxa"/>
            <w:tcBorders>
              <w:left w:val="nil"/>
            </w:tcBorders>
          </w:tcPr>
          <w:p w:rsidR="00C25F35" w:rsidRDefault="00387C3E" w:rsidP="00C25F35">
            <w:pPr>
              <w:jc w:val="center"/>
            </w:pPr>
            <w:r>
              <w:rPr>
                <w:noProof/>
                <w:lang w:eastAsia="en-GB"/>
              </w:rPr>
              <w:drawing>
                <wp:anchor distT="0" distB="0" distL="114300" distR="114300" simplePos="0" relativeHeight="251659264" behindDoc="0" locked="0" layoutInCell="1" allowOverlap="1" wp14:anchorId="4C4EA604" wp14:editId="0043BC34">
                  <wp:simplePos x="0" y="0"/>
                  <wp:positionH relativeFrom="column">
                    <wp:posOffset>510540</wp:posOffset>
                  </wp:positionH>
                  <wp:positionV relativeFrom="paragraph">
                    <wp:posOffset>32385</wp:posOffset>
                  </wp:positionV>
                  <wp:extent cx="1171575" cy="466725"/>
                  <wp:effectExtent l="19050" t="0" r="9525" b="0"/>
                  <wp:wrapSquare wrapText="bothSides"/>
                  <wp:docPr id="2" name="Picture 2" descr="C:\Users\Stacey\AppData\Local\Microsoft\Windows\Temporary Internet Files\Content.Word\SCAN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ppData\Local\Microsoft\Windows\Temporary Internet Files\Content.Word\SCAN0232.jpg"/>
                          <pic:cNvPicPr>
                            <a:picLocks noChangeAspect="1" noChangeArrowheads="1"/>
                          </pic:cNvPicPr>
                        </pic:nvPicPr>
                        <pic:blipFill>
                          <a:blip r:embed="rId7" cstate="print"/>
                          <a:srcRect l="2899" t="69615" r="11594" b="3462"/>
                          <a:stretch>
                            <a:fillRect/>
                          </a:stretch>
                        </pic:blipFill>
                        <pic:spPr bwMode="auto">
                          <a:xfrm>
                            <a:off x="0" y="0"/>
                            <a:ext cx="1171575" cy="466725"/>
                          </a:xfrm>
                          <a:prstGeom prst="rect">
                            <a:avLst/>
                          </a:prstGeom>
                          <a:noFill/>
                          <a:ln w="9525">
                            <a:noFill/>
                            <a:miter lim="800000"/>
                            <a:headEnd/>
                            <a:tailEnd/>
                          </a:ln>
                        </pic:spPr>
                      </pic:pic>
                    </a:graphicData>
                  </a:graphic>
                </wp:anchor>
              </w:drawing>
            </w:r>
          </w:p>
        </w:tc>
      </w:tr>
    </w:tbl>
    <w:p w:rsidR="00940856" w:rsidRDefault="00940856" w:rsidP="00940856">
      <w:pPr>
        <w:pStyle w:val="ListParagraph"/>
        <w:rPr>
          <w:b/>
          <w:szCs w:val="24"/>
        </w:rPr>
      </w:pPr>
    </w:p>
    <w:p w:rsidR="00DD2800" w:rsidRDefault="00DD2800" w:rsidP="00DD2800">
      <w:pPr>
        <w:pStyle w:val="ListParagraph"/>
        <w:numPr>
          <w:ilvl w:val="0"/>
          <w:numId w:val="2"/>
        </w:numPr>
        <w:rPr>
          <w:b/>
          <w:szCs w:val="24"/>
        </w:rPr>
      </w:pPr>
      <w:r w:rsidRPr="00175C91">
        <w:rPr>
          <w:b/>
          <w:szCs w:val="24"/>
        </w:rPr>
        <w:t>Purpose and Scope</w:t>
      </w:r>
    </w:p>
    <w:p w:rsidR="004A1C4E" w:rsidRDefault="004A1C4E" w:rsidP="00F764E8">
      <w:pPr>
        <w:ind w:left="360"/>
        <w:rPr>
          <w:rFonts w:cs="Arial"/>
        </w:rPr>
      </w:pPr>
      <w:r w:rsidRPr="004A1C4E">
        <w:rPr>
          <w:rFonts w:cs="Arial"/>
        </w:rPr>
        <w:t xml:space="preserve">It is </w:t>
      </w:r>
      <w:r w:rsidR="0024587C">
        <w:rPr>
          <w:rFonts w:cs="Arial"/>
        </w:rPr>
        <w:t>Westdale Group</w:t>
      </w:r>
      <w:r w:rsidRPr="004A1C4E">
        <w:rPr>
          <w:rFonts w:cs="Arial"/>
        </w:rPr>
        <w:t xml:space="preserve"> policy to conduct all of our business in an honest and ethical manner. We have a zero-tolerance approach to bribery and corruption and are committed to acting professionally, fairly and with integrity in all our dealings wherever we operate. </w:t>
      </w:r>
      <w:bookmarkStart w:id="0" w:name="_GoBack"/>
      <w:bookmarkEnd w:id="0"/>
    </w:p>
    <w:p w:rsidR="00F764E8" w:rsidRPr="00F764E8" w:rsidRDefault="00F764E8" w:rsidP="00F764E8">
      <w:pPr>
        <w:ind w:left="360"/>
        <w:rPr>
          <w:rFonts w:cs="Arial"/>
        </w:rPr>
      </w:pPr>
      <w:r w:rsidRPr="00F764E8">
        <w:rPr>
          <w:rFonts w:cs="Arial"/>
        </w:rPr>
        <w:t>The Briber</w:t>
      </w:r>
      <w:r w:rsidR="004A1C4E">
        <w:rPr>
          <w:rFonts w:cs="Arial"/>
        </w:rPr>
        <w:t>y Act 2010 came into force in July 2011 and</w:t>
      </w:r>
      <w:r w:rsidRPr="00F764E8">
        <w:rPr>
          <w:rFonts w:cs="Arial"/>
        </w:rPr>
        <w:t xml:space="preserve"> creates various new offences, including offences which can be committed by a commercial organisation that fails to prevent persons associated with that organisation from committing bribery on their behalf.</w:t>
      </w:r>
    </w:p>
    <w:p w:rsidR="00F764E8" w:rsidRPr="00F764E8" w:rsidRDefault="0024587C" w:rsidP="00F764E8">
      <w:pPr>
        <w:ind w:left="360"/>
        <w:rPr>
          <w:rFonts w:cs="Arial"/>
        </w:rPr>
      </w:pPr>
      <w:r>
        <w:rPr>
          <w:rFonts w:cs="Arial"/>
        </w:rPr>
        <w:t>Westdale Group</w:t>
      </w:r>
      <w:r w:rsidR="00F764E8" w:rsidRPr="00F764E8">
        <w:rPr>
          <w:rFonts w:cs="Arial"/>
        </w:rPr>
        <w:t xml:space="preserve"> and its Directors are committed to the prevention of bribery by those employed and associated with it.</w:t>
      </w:r>
    </w:p>
    <w:p w:rsidR="00F764E8" w:rsidRPr="004A1C4E" w:rsidRDefault="00F764E8" w:rsidP="004A1C4E">
      <w:pPr>
        <w:ind w:left="360"/>
        <w:rPr>
          <w:szCs w:val="24"/>
        </w:rPr>
      </w:pPr>
      <w:r w:rsidRPr="00F764E8">
        <w:rPr>
          <w:rFonts w:cs="Arial"/>
        </w:rPr>
        <w:t xml:space="preserve">This policy applies to all those employed by and associated with </w:t>
      </w:r>
      <w:r w:rsidR="0024587C">
        <w:rPr>
          <w:rFonts w:cs="Arial"/>
        </w:rPr>
        <w:t>Westdale Group</w:t>
      </w:r>
      <w:r w:rsidR="004A1C4E">
        <w:rPr>
          <w:rFonts w:cs="Arial"/>
        </w:rPr>
        <w:t xml:space="preserve"> and</w:t>
      </w:r>
      <w:r w:rsidR="004A1C4E" w:rsidRPr="004A1C4E">
        <w:rPr>
          <w:szCs w:val="24"/>
        </w:rPr>
        <w:t xml:space="preserve"> extends to all Westdale activities and operations and to all of its dealings and neg</w:t>
      </w:r>
      <w:r w:rsidR="004A1C4E">
        <w:rPr>
          <w:szCs w:val="24"/>
        </w:rPr>
        <w:t xml:space="preserve">otiations with third parties.  </w:t>
      </w:r>
    </w:p>
    <w:p w:rsidR="004A1C4E" w:rsidRPr="00F764E8" w:rsidRDefault="004A1C4E" w:rsidP="004A1C4E">
      <w:pPr>
        <w:ind w:left="360"/>
        <w:rPr>
          <w:rFonts w:cs="Arial"/>
        </w:rPr>
      </w:pPr>
      <w:r w:rsidRPr="004A1C4E">
        <w:rPr>
          <w:rFonts w:cs="Arial"/>
        </w:rPr>
        <w:t>Westdale are committed to ensuring that its business is conducted in an open and transparent manner and will adhere to the principles of bribery prevention and will take all appropriate steps to address the risks of bribery.  Any cases brought to the company’s attention will be dealt with appropriately.</w:t>
      </w:r>
    </w:p>
    <w:p w:rsidR="00F764E8" w:rsidRPr="004A1C4E" w:rsidRDefault="00F764E8" w:rsidP="004A1C4E">
      <w:pPr>
        <w:pStyle w:val="ListParagraph"/>
        <w:numPr>
          <w:ilvl w:val="0"/>
          <w:numId w:val="2"/>
        </w:numPr>
        <w:rPr>
          <w:rFonts w:cs="Arial"/>
          <w:b/>
        </w:rPr>
      </w:pPr>
      <w:r w:rsidRPr="004A1C4E">
        <w:rPr>
          <w:rFonts w:cs="Arial"/>
          <w:b/>
        </w:rPr>
        <w:t>Responsibilities</w:t>
      </w:r>
    </w:p>
    <w:p w:rsidR="00624293" w:rsidRPr="004A1C4E" w:rsidRDefault="004A1C4E" w:rsidP="004A1C4E">
      <w:pPr>
        <w:ind w:left="360"/>
        <w:rPr>
          <w:szCs w:val="24"/>
        </w:rPr>
      </w:pPr>
      <w:r w:rsidRPr="004A1C4E">
        <w:rPr>
          <w:szCs w:val="24"/>
        </w:rPr>
        <w:t xml:space="preserve">This policy applies to all individuals including senior managers, directors, employees (fixed term &amp; temporary) consultants, suppliers, contractors and any other person providing a service to the company.  </w:t>
      </w:r>
    </w:p>
    <w:p w:rsidR="00190D9D" w:rsidRPr="00623CF0" w:rsidRDefault="00175C91" w:rsidP="00623CF0">
      <w:pPr>
        <w:pStyle w:val="ListParagraph"/>
        <w:numPr>
          <w:ilvl w:val="0"/>
          <w:numId w:val="2"/>
        </w:numPr>
        <w:rPr>
          <w:b/>
          <w:szCs w:val="24"/>
        </w:rPr>
      </w:pPr>
      <w:r w:rsidRPr="00175C91">
        <w:rPr>
          <w:b/>
          <w:szCs w:val="24"/>
        </w:rPr>
        <w:t>Reference Documents</w:t>
      </w:r>
      <w:r w:rsidR="00EB4468">
        <w:rPr>
          <w:b/>
          <w:szCs w:val="24"/>
        </w:rPr>
        <w:t xml:space="preserve"> </w:t>
      </w:r>
    </w:p>
    <w:tbl>
      <w:tblPr>
        <w:tblStyle w:val="TableGrid"/>
        <w:tblW w:w="0" w:type="auto"/>
        <w:tblLook w:val="04A0" w:firstRow="1" w:lastRow="0" w:firstColumn="1" w:lastColumn="0" w:noHBand="0" w:noVBand="1"/>
      </w:tblPr>
      <w:tblGrid>
        <w:gridCol w:w="2405"/>
        <w:gridCol w:w="8051"/>
      </w:tblGrid>
      <w:tr w:rsidR="00175C91" w:rsidRPr="00175C91" w:rsidTr="00441EF5">
        <w:tc>
          <w:tcPr>
            <w:tcW w:w="2405" w:type="dxa"/>
            <w:shd w:val="clear" w:color="auto" w:fill="D9D9D9" w:themeFill="background1" w:themeFillShade="D9"/>
          </w:tcPr>
          <w:p w:rsidR="00175C91" w:rsidRPr="00175C91" w:rsidRDefault="00175C91" w:rsidP="00175C91">
            <w:pPr>
              <w:rPr>
                <w:b/>
                <w:szCs w:val="24"/>
              </w:rPr>
            </w:pPr>
            <w:r w:rsidRPr="00175C91">
              <w:rPr>
                <w:b/>
                <w:szCs w:val="24"/>
              </w:rPr>
              <w:t>Document Ref:</w:t>
            </w:r>
          </w:p>
        </w:tc>
        <w:tc>
          <w:tcPr>
            <w:tcW w:w="8051" w:type="dxa"/>
            <w:shd w:val="clear" w:color="auto" w:fill="D9D9D9" w:themeFill="background1" w:themeFillShade="D9"/>
          </w:tcPr>
          <w:p w:rsidR="00175C91" w:rsidRPr="00175C91" w:rsidRDefault="00190D9D" w:rsidP="00175C91">
            <w:pPr>
              <w:rPr>
                <w:b/>
                <w:szCs w:val="24"/>
              </w:rPr>
            </w:pPr>
            <w:r>
              <w:rPr>
                <w:b/>
                <w:szCs w:val="24"/>
              </w:rPr>
              <w:t>Title</w:t>
            </w:r>
          </w:p>
        </w:tc>
      </w:tr>
      <w:tr w:rsidR="00175C91" w:rsidRPr="00175C91" w:rsidTr="00175C91">
        <w:tc>
          <w:tcPr>
            <w:tcW w:w="2405" w:type="dxa"/>
          </w:tcPr>
          <w:p w:rsidR="00175C91" w:rsidRPr="00175C91" w:rsidRDefault="00175C91" w:rsidP="00175C91">
            <w:pPr>
              <w:rPr>
                <w:szCs w:val="24"/>
              </w:rPr>
            </w:pPr>
          </w:p>
        </w:tc>
        <w:tc>
          <w:tcPr>
            <w:tcW w:w="8051" w:type="dxa"/>
          </w:tcPr>
          <w:p w:rsidR="00175C91" w:rsidRPr="00175C91" w:rsidRDefault="00175C91" w:rsidP="00190D9D">
            <w:pPr>
              <w:rPr>
                <w:szCs w:val="24"/>
              </w:rPr>
            </w:pPr>
          </w:p>
        </w:tc>
      </w:tr>
    </w:tbl>
    <w:p w:rsidR="00B177BD" w:rsidRDefault="00B177BD" w:rsidP="00175C91">
      <w:pPr>
        <w:rPr>
          <w:szCs w:val="24"/>
        </w:rPr>
      </w:pPr>
    </w:p>
    <w:p w:rsidR="00190D9D" w:rsidRPr="00623CF0" w:rsidRDefault="00B177BD" w:rsidP="00623CF0">
      <w:pPr>
        <w:pStyle w:val="ListParagraph"/>
        <w:numPr>
          <w:ilvl w:val="0"/>
          <w:numId w:val="2"/>
        </w:numPr>
        <w:rPr>
          <w:b/>
          <w:szCs w:val="24"/>
        </w:rPr>
      </w:pPr>
      <w:r w:rsidRPr="00B177BD">
        <w:rPr>
          <w:b/>
          <w:szCs w:val="24"/>
        </w:rPr>
        <w:t>Revision Changes</w:t>
      </w:r>
    </w:p>
    <w:tbl>
      <w:tblPr>
        <w:tblStyle w:val="TableGrid"/>
        <w:tblW w:w="0" w:type="auto"/>
        <w:tblLook w:val="04A0" w:firstRow="1" w:lastRow="0" w:firstColumn="1" w:lastColumn="0" w:noHBand="0" w:noVBand="1"/>
      </w:tblPr>
      <w:tblGrid>
        <w:gridCol w:w="1413"/>
        <w:gridCol w:w="1417"/>
        <w:gridCol w:w="7626"/>
      </w:tblGrid>
      <w:tr w:rsidR="00B177BD" w:rsidTr="00B177BD">
        <w:tc>
          <w:tcPr>
            <w:tcW w:w="1413" w:type="dxa"/>
            <w:shd w:val="clear" w:color="auto" w:fill="F2F2F2" w:themeFill="background1" w:themeFillShade="F2"/>
          </w:tcPr>
          <w:p w:rsidR="00B177BD" w:rsidRPr="00B177BD" w:rsidRDefault="00B177BD" w:rsidP="00B177BD">
            <w:pPr>
              <w:rPr>
                <w:b/>
                <w:szCs w:val="24"/>
              </w:rPr>
            </w:pPr>
            <w:r w:rsidRPr="00B177BD">
              <w:rPr>
                <w:b/>
                <w:szCs w:val="24"/>
              </w:rPr>
              <w:t>Review Date</w:t>
            </w:r>
          </w:p>
        </w:tc>
        <w:tc>
          <w:tcPr>
            <w:tcW w:w="1417" w:type="dxa"/>
            <w:shd w:val="clear" w:color="auto" w:fill="F2F2F2" w:themeFill="background1" w:themeFillShade="F2"/>
          </w:tcPr>
          <w:p w:rsidR="00B177BD" w:rsidRPr="00B177BD" w:rsidRDefault="00B177BD" w:rsidP="00B177BD">
            <w:pPr>
              <w:rPr>
                <w:b/>
                <w:szCs w:val="24"/>
              </w:rPr>
            </w:pPr>
            <w:r w:rsidRPr="00B177BD">
              <w:rPr>
                <w:b/>
                <w:szCs w:val="24"/>
              </w:rPr>
              <w:t>Revision No.</w:t>
            </w:r>
          </w:p>
        </w:tc>
        <w:tc>
          <w:tcPr>
            <w:tcW w:w="7626" w:type="dxa"/>
            <w:shd w:val="clear" w:color="auto" w:fill="F2F2F2" w:themeFill="background1" w:themeFillShade="F2"/>
          </w:tcPr>
          <w:p w:rsidR="00B177BD" w:rsidRPr="00B177BD" w:rsidRDefault="00B177BD" w:rsidP="00B177BD">
            <w:pPr>
              <w:rPr>
                <w:b/>
                <w:szCs w:val="24"/>
              </w:rPr>
            </w:pPr>
            <w:r w:rsidRPr="00B177BD">
              <w:rPr>
                <w:b/>
                <w:szCs w:val="24"/>
              </w:rPr>
              <w:t>Brief Description of Changes</w:t>
            </w:r>
          </w:p>
        </w:tc>
      </w:tr>
      <w:tr w:rsidR="00B177BD" w:rsidTr="00B177BD">
        <w:tc>
          <w:tcPr>
            <w:tcW w:w="1413" w:type="dxa"/>
          </w:tcPr>
          <w:p w:rsidR="00B177BD" w:rsidRDefault="00857EE9" w:rsidP="00B177BD">
            <w:pPr>
              <w:rPr>
                <w:szCs w:val="24"/>
              </w:rPr>
            </w:pPr>
            <w:r>
              <w:rPr>
                <w:szCs w:val="24"/>
              </w:rPr>
              <w:t>21/07/2020</w:t>
            </w:r>
          </w:p>
        </w:tc>
        <w:tc>
          <w:tcPr>
            <w:tcW w:w="1417" w:type="dxa"/>
          </w:tcPr>
          <w:p w:rsidR="00B177BD" w:rsidRDefault="00857EE9" w:rsidP="00B177BD">
            <w:pPr>
              <w:jc w:val="center"/>
              <w:rPr>
                <w:szCs w:val="24"/>
              </w:rPr>
            </w:pPr>
            <w:r>
              <w:rPr>
                <w:szCs w:val="24"/>
              </w:rPr>
              <w:t>2</w:t>
            </w:r>
          </w:p>
        </w:tc>
        <w:tc>
          <w:tcPr>
            <w:tcW w:w="7626" w:type="dxa"/>
          </w:tcPr>
          <w:p w:rsidR="00B177BD" w:rsidRDefault="00857EE9" w:rsidP="00B177BD">
            <w:pPr>
              <w:rPr>
                <w:szCs w:val="24"/>
              </w:rPr>
            </w:pPr>
            <w:r>
              <w:rPr>
                <w:szCs w:val="24"/>
              </w:rPr>
              <w:t>Annual review</w:t>
            </w:r>
          </w:p>
        </w:tc>
      </w:tr>
      <w:tr w:rsidR="00B177BD" w:rsidTr="00B177BD">
        <w:tc>
          <w:tcPr>
            <w:tcW w:w="1413" w:type="dxa"/>
          </w:tcPr>
          <w:p w:rsidR="00B177BD" w:rsidRDefault="00B177BD" w:rsidP="00B177BD">
            <w:pPr>
              <w:rPr>
                <w:szCs w:val="24"/>
              </w:rPr>
            </w:pPr>
          </w:p>
        </w:tc>
        <w:tc>
          <w:tcPr>
            <w:tcW w:w="1417" w:type="dxa"/>
          </w:tcPr>
          <w:p w:rsidR="00B177BD" w:rsidRDefault="00B177BD" w:rsidP="00B177BD">
            <w:pPr>
              <w:jc w:val="center"/>
              <w:rPr>
                <w:szCs w:val="24"/>
              </w:rPr>
            </w:pPr>
          </w:p>
        </w:tc>
        <w:tc>
          <w:tcPr>
            <w:tcW w:w="7626" w:type="dxa"/>
          </w:tcPr>
          <w:p w:rsidR="00B177BD" w:rsidRDefault="00B177BD" w:rsidP="00B177BD">
            <w:pPr>
              <w:rPr>
                <w:szCs w:val="24"/>
              </w:rPr>
            </w:pPr>
          </w:p>
        </w:tc>
      </w:tr>
      <w:tr w:rsidR="00B177BD" w:rsidTr="005528AB">
        <w:trPr>
          <w:trHeight w:val="70"/>
        </w:trPr>
        <w:tc>
          <w:tcPr>
            <w:tcW w:w="1413" w:type="dxa"/>
          </w:tcPr>
          <w:p w:rsidR="00B177BD" w:rsidRDefault="00B177BD" w:rsidP="00B177BD">
            <w:pPr>
              <w:rPr>
                <w:szCs w:val="24"/>
              </w:rPr>
            </w:pPr>
          </w:p>
        </w:tc>
        <w:tc>
          <w:tcPr>
            <w:tcW w:w="1417" w:type="dxa"/>
          </w:tcPr>
          <w:p w:rsidR="00B177BD" w:rsidRDefault="00B177BD" w:rsidP="00B177BD">
            <w:pPr>
              <w:jc w:val="center"/>
              <w:rPr>
                <w:szCs w:val="24"/>
              </w:rPr>
            </w:pPr>
          </w:p>
        </w:tc>
        <w:tc>
          <w:tcPr>
            <w:tcW w:w="7626" w:type="dxa"/>
          </w:tcPr>
          <w:p w:rsidR="00B177BD" w:rsidRDefault="00B177BD" w:rsidP="00B177BD">
            <w:pPr>
              <w:rPr>
                <w:szCs w:val="24"/>
              </w:rPr>
            </w:pPr>
          </w:p>
        </w:tc>
      </w:tr>
    </w:tbl>
    <w:p w:rsidR="00190D9D" w:rsidRDefault="00190D9D" w:rsidP="00B177BD">
      <w:pPr>
        <w:rPr>
          <w:szCs w:val="24"/>
        </w:rPr>
      </w:pPr>
    </w:p>
    <w:p w:rsidR="00B177BD" w:rsidRDefault="00B177BD" w:rsidP="00B177BD">
      <w:pPr>
        <w:pStyle w:val="ListParagraph"/>
        <w:numPr>
          <w:ilvl w:val="0"/>
          <w:numId w:val="2"/>
        </w:numPr>
        <w:rPr>
          <w:b/>
          <w:szCs w:val="24"/>
        </w:rPr>
      </w:pPr>
      <w:r w:rsidRPr="00B177BD">
        <w:rPr>
          <w:b/>
          <w:szCs w:val="24"/>
        </w:rPr>
        <w:t>Procedure</w:t>
      </w:r>
    </w:p>
    <w:p w:rsidR="00F764E8" w:rsidRPr="004A1C4E" w:rsidRDefault="00F764E8" w:rsidP="00F764E8">
      <w:pPr>
        <w:ind w:left="360"/>
        <w:rPr>
          <w:b/>
          <w:szCs w:val="24"/>
        </w:rPr>
      </w:pPr>
      <w:r w:rsidRPr="004A1C4E">
        <w:rPr>
          <w:b/>
          <w:szCs w:val="24"/>
        </w:rPr>
        <w:t>Offering or Accepting Bribes</w:t>
      </w:r>
    </w:p>
    <w:p w:rsidR="004A1C4E" w:rsidRPr="004A1C4E" w:rsidRDefault="004A1C4E" w:rsidP="004A1C4E">
      <w:pPr>
        <w:ind w:left="360"/>
        <w:rPr>
          <w:szCs w:val="24"/>
        </w:rPr>
      </w:pPr>
      <w:r w:rsidRPr="004A1C4E">
        <w:rPr>
          <w:szCs w:val="24"/>
        </w:rPr>
        <w:t xml:space="preserve">A bribe is a financial or other advantage offered or given to anyone to persuade them to or performing their duties improperly or, to any public official with the intention of influencing the official in the performance of his duties.  It is commonly described as the offer or acceptance of a reward to persuade another to act dishonestly </w:t>
      </w:r>
      <w:r>
        <w:rPr>
          <w:szCs w:val="24"/>
        </w:rPr>
        <w:lastRenderedPageBreak/>
        <w:t xml:space="preserve">and or in the breach of law. </w:t>
      </w:r>
      <w:r w:rsidRPr="004A1C4E">
        <w:rPr>
          <w:szCs w:val="24"/>
        </w:rPr>
        <w:t xml:space="preserve">It includes the offering, promising, giving, receiving or soliciting of financial, academic or other advantage or favour as a means to influence the actions of an individual. </w:t>
      </w:r>
    </w:p>
    <w:p w:rsidR="004A1C4E" w:rsidRPr="004A1C4E" w:rsidRDefault="004A1C4E" w:rsidP="004A1C4E">
      <w:pPr>
        <w:ind w:left="360"/>
        <w:rPr>
          <w:szCs w:val="24"/>
        </w:rPr>
      </w:pPr>
      <w:r w:rsidRPr="004A1C4E">
        <w:rPr>
          <w:szCs w:val="24"/>
        </w:rPr>
        <w:t>The</w:t>
      </w:r>
      <w:r>
        <w:rPr>
          <w:szCs w:val="24"/>
        </w:rPr>
        <w:t xml:space="preserve"> Bribery Act 2010 provides for four</w:t>
      </w:r>
      <w:r w:rsidRPr="004A1C4E">
        <w:rPr>
          <w:szCs w:val="24"/>
        </w:rPr>
        <w:t xml:space="preserve"> bribery offences:-</w:t>
      </w:r>
    </w:p>
    <w:p w:rsidR="004A1C4E" w:rsidRPr="004A1C4E" w:rsidRDefault="004A1C4E" w:rsidP="004A1C4E">
      <w:pPr>
        <w:pStyle w:val="ListParagraph"/>
        <w:numPr>
          <w:ilvl w:val="0"/>
          <w:numId w:val="21"/>
        </w:numPr>
        <w:rPr>
          <w:szCs w:val="24"/>
        </w:rPr>
      </w:pPr>
      <w:r w:rsidRPr="004A1C4E">
        <w:rPr>
          <w:szCs w:val="24"/>
        </w:rPr>
        <w:t>Bribing: offering, promising or giving an advantage;</w:t>
      </w:r>
    </w:p>
    <w:p w:rsidR="004A1C4E" w:rsidRPr="004A1C4E" w:rsidRDefault="004A1C4E" w:rsidP="004A1C4E">
      <w:pPr>
        <w:pStyle w:val="ListParagraph"/>
        <w:numPr>
          <w:ilvl w:val="0"/>
          <w:numId w:val="21"/>
        </w:numPr>
        <w:rPr>
          <w:szCs w:val="24"/>
        </w:rPr>
      </w:pPr>
      <w:r w:rsidRPr="004A1C4E">
        <w:rPr>
          <w:szCs w:val="24"/>
        </w:rPr>
        <w:t>Being bribed:  requested, agreeing to or accepting an advantage;</w:t>
      </w:r>
    </w:p>
    <w:p w:rsidR="004A1C4E" w:rsidRPr="004A1C4E" w:rsidRDefault="004A1C4E" w:rsidP="004A1C4E">
      <w:pPr>
        <w:pStyle w:val="ListParagraph"/>
        <w:numPr>
          <w:ilvl w:val="0"/>
          <w:numId w:val="21"/>
        </w:numPr>
        <w:rPr>
          <w:szCs w:val="24"/>
        </w:rPr>
      </w:pPr>
      <w:r w:rsidRPr="004A1C4E">
        <w:rPr>
          <w:szCs w:val="24"/>
        </w:rPr>
        <w:t xml:space="preserve">Bribing a foreign official; </w:t>
      </w:r>
    </w:p>
    <w:p w:rsidR="004A1C4E" w:rsidRPr="004A1C4E" w:rsidRDefault="004A1C4E" w:rsidP="004A1C4E">
      <w:pPr>
        <w:pStyle w:val="ListParagraph"/>
        <w:numPr>
          <w:ilvl w:val="0"/>
          <w:numId w:val="21"/>
        </w:numPr>
        <w:rPr>
          <w:szCs w:val="24"/>
        </w:rPr>
      </w:pPr>
      <w:r w:rsidRPr="004A1C4E">
        <w:rPr>
          <w:szCs w:val="24"/>
        </w:rPr>
        <w:t xml:space="preserve">Failing as an organisation to prevent any person who performs services on its behalf from committing an act of bribery. </w:t>
      </w:r>
    </w:p>
    <w:p w:rsidR="004A1C4E" w:rsidRPr="004A1C4E" w:rsidRDefault="004A1C4E" w:rsidP="004A1C4E">
      <w:pPr>
        <w:ind w:left="360"/>
        <w:rPr>
          <w:b/>
          <w:szCs w:val="24"/>
        </w:rPr>
      </w:pPr>
      <w:r w:rsidRPr="004A1C4E">
        <w:rPr>
          <w:b/>
          <w:szCs w:val="24"/>
        </w:rPr>
        <w:t>Action in the Event of Bribery</w:t>
      </w:r>
    </w:p>
    <w:p w:rsidR="00F764E8" w:rsidRPr="00F764E8" w:rsidRDefault="004A1C4E" w:rsidP="004A1C4E">
      <w:pPr>
        <w:ind w:left="360"/>
        <w:rPr>
          <w:szCs w:val="24"/>
        </w:rPr>
      </w:pPr>
      <w:r w:rsidRPr="004A1C4E">
        <w:rPr>
          <w:szCs w:val="24"/>
        </w:rPr>
        <w:t xml:space="preserve">All cases of actual or suspected bribery will be promptly investigated and appropriate action will be taken.   </w:t>
      </w:r>
      <w:r w:rsidR="0024587C">
        <w:rPr>
          <w:szCs w:val="24"/>
        </w:rPr>
        <w:t>Westdale Group</w:t>
      </w:r>
      <w:r w:rsidR="00F764E8" w:rsidRPr="00F764E8">
        <w:rPr>
          <w:szCs w:val="24"/>
        </w:rPr>
        <w:t xml:space="preserve"> prohibits any employee (or person associated with it) from accepting, offering, promising or giving any financial or other advantage to another person where it is intended that advantage will bring about improper </w:t>
      </w:r>
      <w:proofErr w:type="gramStart"/>
      <w:r w:rsidR="00F764E8" w:rsidRPr="00F764E8">
        <w:rPr>
          <w:szCs w:val="24"/>
        </w:rPr>
        <w:t>performance  by</w:t>
      </w:r>
      <w:proofErr w:type="gramEnd"/>
      <w:r w:rsidR="00F764E8" w:rsidRPr="00F764E8">
        <w:rPr>
          <w:szCs w:val="24"/>
        </w:rPr>
        <w:t xml:space="preserve"> another person.</w:t>
      </w:r>
      <w:r>
        <w:rPr>
          <w:szCs w:val="24"/>
        </w:rPr>
        <w:t xml:space="preserve"> </w:t>
      </w:r>
      <w:r w:rsidR="00F764E8" w:rsidRPr="00F764E8">
        <w:rPr>
          <w:szCs w:val="24"/>
        </w:rPr>
        <w:t>“Another person” can include any UK or foreign national.</w:t>
      </w:r>
    </w:p>
    <w:p w:rsidR="00F764E8" w:rsidRPr="004A1C4E" w:rsidRDefault="00F764E8" w:rsidP="00F764E8">
      <w:pPr>
        <w:ind w:left="360"/>
        <w:rPr>
          <w:b/>
          <w:szCs w:val="24"/>
        </w:rPr>
      </w:pPr>
      <w:r w:rsidRPr="004A1C4E">
        <w:rPr>
          <w:b/>
          <w:szCs w:val="24"/>
        </w:rPr>
        <w:t>Hospitality and Business Gifts</w:t>
      </w:r>
    </w:p>
    <w:p w:rsidR="004A1C4E" w:rsidRPr="004A1C4E" w:rsidRDefault="004A1C4E" w:rsidP="004A1C4E">
      <w:pPr>
        <w:ind w:left="360"/>
        <w:rPr>
          <w:szCs w:val="24"/>
        </w:rPr>
      </w:pPr>
      <w:r w:rsidRPr="004A1C4E">
        <w:rPr>
          <w:szCs w:val="24"/>
        </w:rPr>
        <w:t>This policy does not prohibit giving and receiving promotional gifts of low value and normal and appropriate hospitality, however in certain circumstances gifts and hospitality may amount to bribery and all employees must</w:t>
      </w:r>
      <w:r>
        <w:rPr>
          <w:szCs w:val="24"/>
        </w:rPr>
        <w:t xml:space="preserve"> comply strictly with </w:t>
      </w:r>
      <w:r w:rsidR="0024587C">
        <w:rPr>
          <w:szCs w:val="24"/>
        </w:rPr>
        <w:t>Westdale Group</w:t>
      </w:r>
      <w:r>
        <w:rPr>
          <w:szCs w:val="24"/>
        </w:rPr>
        <w:t>’</w:t>
      </w:r>
      <w:r w:rsidRPr="004A1C4E">
        <w:rPr>
          <w:szCs w:val="24"/>
        </w:rPr>
        <w:t xml:space="preserve"> policy in respect of gifts and hospitality.  </w:t>
      </w:r>
    </w:p>
    <w:p w:rsidR="004A1C4E" w:rsidRPr="004A1C4E" w:rsidRDefault="004A1C4E" w:rsidP="004A1C4E">
      <w:pPr>
        <w:ind w:left="360"/>
        <w:rPr>
          <w:szCs w:val="24"/>
        </w:rPr>
      </w:pPr>
      <w:r w:rsidRPr="004A1C4E">
        <w:rPr>
          <w:szCs w:val="24"/>
        </w:rPr>
        <w:t xml:space="preserve">We will not provide gifts or hospitality with the intention of persuading anyone to act improperly or to influence a public official in the performance of his duties.  </w:t>
      </w:r>
    </w:p>
    <w:p w:rsidR="004A1C4E" w:rsidRPr="004A1C4E" w:rsidRDefault="004A1C4E" w:rsidP="004A1C4E">
      <w:pPr>
        <w:ind w:left="360"/>
        <w:rPr>
          <w:szCs w:val="24"/>
        </w:rPr>
      </w:pPr>
      <w:r w:rsidRPr="004A1C4E">
        <w:rPr>
          <w:szCs w:val="24"/>
        </w:rPr>
        <w:t xml:space="preserve">We will not make or accept any payments of any kind made in return for a business favour or advantage.  </w:t>
      </w:r>
    </w:p>
    <w:p w:rsidR="004A1C4E" w:rsidRDefault="004A1C4E" w:rsidP="004A1C4E">
      <w:pPr>
        <w:ind w:left="360"/>
        <w:rPr>
          <w:szCs w:val="24"/>
        </w:rPr>
      </w:pPr>
      <w:r w:rsidRPr="004A1C4E">
        <w:rPr>
          <w:szCs w:val="24"/>
        </w:rPr>
        <w:t>All employees must avoid any activity</w:t>
      </w:r>
      <w:r>
        <w:rPr>
          <w:szCs w:val="24"/>
        </w:rPr>
        <w:t xml:space="preserve"> that might lead to the above. </w:t>
      </w:r>
      <w:r w:rsidRPr="004A1C4E">
        <w:rPr>
          <w:szCs w:val="24"/>
        </w:rPr>
        <w:t>No charitable contributions will be made for the purpose of ga</w:t>
      </w:r>
      <w:r>
        <w:rPr>
          <w:szCs w:val="24"/>
        </w:rPr>
        <w:t>ining any commercial advantage.</w:t>
      </w:r>
      <w:r w:rsidRPr="004A1C4E">
        <w:rPr>
          <w:szCs w:val="24"/>
        </w:rPr>
        <w:t xml:space="preserve"> We will keep financial records and have appropriate internal controls in place which will evidence the business reason for making any payments to third parties.  </w:t>
      </w:r>
    </w:p>
    <w:p w:rsidR="004A1C4E" w:rsidRDefault="004A1C4E" w:rsidP="004A1C4E">
      <w:pPr>
        <w:ind w:left="360"/>
        <w:rPr>
          <w:szCs w:val="24"/>
        </w:rPr>
      </w:pPr>
      <w:r w:rsidRPr="004A1C4E">
        <w:rPr>
          <w:szCs w:val="24"/>
        </w:rPr>
        <w:t>All accounts, invoices &amp; other documents and records relating to dealings with third parties such as clients, suppliers &amp; business contacts, must be prepared and maintained with st</w:t>
      </w:r>
      <w:r>
        <w:rPr>
          <w:szCs w:val="24"/>
        </w:rPr>
        <w:t>rict accuracy and completeness.</w:t>
      </w:r>
      <w:r w:rsidRPr="004A1C4E">
        <w:rPr>
          <w:szCs w:val="24"/>
        </w:rPr>
        <w:t xml:space="preserve"> No accounts must be kept ‘off-book’ to facilitate or conceal improper payments.</w:t>
      </w:r>
    </w:p>
    <w:p w:rsidR="004A1C4E" w:rsidRDefault="0024587C" w:rsidP="004A1C4E">
      <w:pPr>
        <w:ind w:left="360"/>
        <w:rPr>
          <w:szCs w:val="24"/>
        </w:rPr>
      </w:pPr>
      <w:r>
        <w:rPr>
          <w:szCs w:val="24"/>
        </w:rPr>
        <w:t>Westdale Group</w:t>
      </w:r>
      <w:r w:rsidR="00F764E8" w:rsidRPr="00F764E8">
        <w:rPr>
          <w:szCs w:val="24"/>
        </w:rPr>
        <w:t xml:space="preserve"> prohibits the giving and receiving of hospitality / business gifts and similar where the intention in doing so is to receive or confer an advantage in return for giving or receiving the hospitality / business gift or similar.</w:t>
      </w:r>
    </w:p>
    <w:p w:rsidR="00F764E8" w:rsidRPr="00F764E8" w:rsidRDefault="00F764E8" w:rsidP="00F764E8">
      <w:pPr>
        <w:ind w:left="360"/>
        <w:rPr>
          <w:szCs w:val="24"/>
        </w:rPr>
      </w:pPr>
      <w:r w:rsidRPr="00F764E8">
        <w:rPr>
          <w:szCs w:val="24"/>
        </w:rPr>
        <w:t>The following procedures should be adopted in relation to</w:t>
      </w:r>
      <w:r w:rsidR="004A1C4E">
        <w:rPr>
          <w:szCs w:val="24"/>
        </w:rPr>
        <w:t xml:space="preserve"> hospitality and business gifts;</w:t>
      </w:r>
    </w:p>
    <w:p w:rsidR="00F764E8" w:rsidRPr="004A1C4E" w:rsidRDefault="00F764E8" w:rsidP="004A1C4E">
      <w:pPr>
        <w:pStyle w:val="ListParagraph"/>
        <w:numPr>
          <w:ilvl w:val="0"/>
          <w:numId w:val="18"/>
        </w:numPr>
        <w:rPr>
          <w:szCs w:val="24"/>
        </w:rPr>
      </w:pPr>
      <w:r w:rsidRPr="004A1C4E">
        <w:rPr>
          <w:szCs w:val="24"/>
        </w:rPr>
        <w:t xml:space="preserve">All offers of business gifts should be referred </w:t>
      </w:r>
      <w:r w:rsidR="004A1C4E">
        <w:rPr>
          <w:szCs w:val="24"/>
        </w:rPr>
        <w:t xml:space="preserve">to a Director </w:t>
      </w:r>
      <w:r w:rsidRPr="004A1C4E">
        <w:rPr>
          <w:szCs w:val="24"/>
        </w:rPr>
        <w:t>and should only be accepted if clearance has been received.</w:t>
      </w:r>
    </w:p>
    <w:p w:rsidR="00F764E8" w:rsidRPr="004A1C4E" w:rsidRDefault="00F764E8" w:rsidP="004A1C4E">
      <w:pPr>
        <w:pStyle w:val="ListParagraph"/>
        <w:numPr>
          <w:ilvl w:val="0"/>
          <w:numId w:val="18"/>
        </w:numPr>
        <w:rPr>
          <w:szCs w:val="24"/>
        </w:rPr>
      </w:pPr>
      <w:r w:rsidRPr="004A1C4E">
        <w:rPr>
          <w:szCs w:val="24"/>
        </w:rPr>
        <w:t>Business gifts should not be made without the permission of</w:t>
      </w:r>
      <w:r w:rsidR="004A1C4E">
        <w:rPr>
          <w:szCs w:val="24"/>
        </w:rPr>
        <w:t xml:space="preserve"> a Director</w:t>
      </w:r>
      <w:r w:rsidRPr="004A1C4E">
        <w:rPr>
          <w:szCs w:val="24"/>
        </w:rPr>
        <w:t>.</w:t>
      </w:r>
    </w:p>
    <w:p w:rsidR="00F764E8" w:rsidRPr="004A1C4E" w:rsidRDefault="00F764E8" w:rsidP="004A1C4E">
      <w:pPr>
        <w:pStyle w:val="ListParagraph"/>
        <w:numPr>
          <w:ilvl w:val="0"/>
          <w:numId w:val="18"/>
        </w:numPr>
        <w:rPr>
          <w:szCs w:val="24"/>
        </w:rPr>
      </w:pPr>
      <w:r w:rsidRPr="004A1C4E">
        <w:rPr>
          <w:szCs w:val="24"/>
        </w:rPr>
        <w:t>Cash gifts are prohibited.</w:t>
      </w:r>
    </w:p>
    <w:p w:rsidR="004A1C4E" w:rsidRDefault="00F764E8" w:rsidP="004A1C4E">
      <w:pPr>
        <w:pStyle w:val="ListParagraph"/>
        <w:numPr>
          <w:ilvl w:val="0"/>
          <w:numId w:val="18"/>
        </w:numPr>
        <w:rPr>
          <w:szCs w:val="24"/>
        </w:rPr>
      </w:pPr>
      <w:r w:rsidRPr="004A1C4E">
        <w:rPr>
          <w:szCs w:val="24"/>
        </w:rPr>
        <w:t>The provision of small promotional gifts, such as diaries, pens, calendars or similar, will generally be regarded as acceptable. If you are in any doubt you should contact</w:t>
      </w:r>
      <w:r w:rsidR="004A1C4E">
        <w:rPr>
          <w:szCs w:val="24"/>
        </w:rPr>
        <w:t xml:space="preserve"> a Director.</w:t>
      </w:r>
    </w:p>
    <w:p w:rsidR="00F764E8" w:rsidRPr="004A1C4E" w:rsidRDefault="0024587C" w:rsidP="004A1C4E">
      <w:pPr>
        <w:pStyle w:val="ListParagraph"/>
        <w:numPr>
          <w:ilvl w:val="0"/>
          <w:numId w:val="18"/>
        </w:numPr>
        <w:rPr>
          <w:szCs w:val="24"/>
        </w:rPr>
      </w:pPr>
      <w:r>
        <w:rPr>
          <w:szCs w:val="24"/>
        </w:rPr>
        <w:lastRenderedPageBreak/>
        <w:t>Westdale Group</w:t>
      </w:r>
      <w:r w:rsidR="00F764E8" w:rsidRPr="004A1C4E">
        <w:rPr>
          <w:szCs w:val="24"/>
        </w:rPr>
        <w:t xml:space="preserve"> prohibits facilitation payments of any sort.</w:t>
      </w:r>
      <w:r w:rsidR="004A1C4E">
        <w:rPr>
          <w:szCs w:val="24"/>
        </w:rPr>
        <w:t xml:space="preserve"> </w:t>
      </w:r>
      <w:r w:rsidR="00F764E8" w:rsidRPr="004A1C4E">
        <w:rPr>
          <w:szCs w:val="24"/>
        </w:rPr>
        <w:t>Facilitation payments are small bribes paid to speed up government process. Although they are common place in some foreign countries, they are illegal under the Bribery Act 2010.</w:t>
      </w:r>
    </w:p>
    <w:p w:rsidR="004A1C4E" w:rsidRDefault="00F764E8" w:rsidP="004A1C4E">
      <w:pPr>
        <w:ind w:left="360"/>
        <w:rPr>
          <w:szCs w:val="24"/>
        </w:rPr>
      </w:pPr>
      <w:r w:rsidRPr="004A1C4E">
        <w:rPr>
          <w:szCs w:val="24"/>
        </w:rPr>
        <w:t xml:space="preserve">If you are in any doubt you should contact </w:t>
      </w:r>
      <w:r w:rsidR="004A1C4E">
        <w:rPr>
          <w:szCs w:val="24"/>
        </w:rPr>
        <w:t>a Director to report your concerns.</w:t>
      </w:r>
    </w:p>
    <w:p w:rsidR="00F764E8" w:rsidRPr="004A1C4E" w:rsidRDefault="00F764E8" w:rsidP="004A1C4E">
      <w:pPr>
        <w:ind w:left="360"/>
        <w:rPr>
          <w:b/>
          <w:szCs w:val="24"/>
        </w:rPr>
      </w:pPr>
      <w:r w:rsidRPr="004A1C4E">
        <w:rPr>
          <w:b/>
          <w:szCs w:val="24"/>
        </w:rPr>
        <w:t>Reporting Concerns</w:t>
      </w:r>
    </w:p>
    <w:p w:rsidR="00F764E8" w:rsidRPr="00F764E8" w:rsidRDefault="00F764E8" w:rsidP="00F764E8">
      <w:pPr>
        <w:ind w:left="360"/>
        <w:rPr>
          <w:szCs w:val="24"/>
        </w:rPr>
      </w:pPr>
      <w:r w:rsidRPr="00F764E8">
        <w:rPr>
          <w:szCs w:val="24"/>
        </w:rPr>
        <w:t>All members of</w:t>
      </w:r>
      <w:r w:rsidR="004A1C4E">
        <w:rPr>
          <w:szCs w:val="24"/>
        </w:rPr>
        <w:t xml:space="preserve"> staff have a responsibility to ‘</w:t>
      </w:r>
      <w:r w:rsidRPr="00F764E8">
        <w:rPr>
          <w:szCs w:val="24"/>
        </w:rPr>
        <w:t>Prevent</w:t>
      </w:r>
      <w:r w:rsidR="004A1C4E">
        <w:rPr>
          <w:szCs w:val="24"/>
        </w:rPr>
        <w:t xml:space="preserve">, </w:t>
      </w:r>
      <w:r w:rsidRPr="00F764E8">
        <w:rPr>
          <w:szCs w:val="24"/>
        </w:rPr>
        <w:t>Detect</w:t>
      </w:r>
      <w:r w:rsidR="004A1C4E">
        <w:rPr>
          <w:szCs w:val="24"/>
        </w:rPr>
        <w:t xml:space="preserve">, </w:t>
      </w:r>
      <w:r w:rsidRPr="00F764E8">
        <w:rPr>
          <w:szCs w:val="24"/>
        </w:rPr>
        <w:t>Report</w:t>
      </w:r>
      <w:r w:rsidR="004A1C4E">
        <w:rPr>
          <w:szCs w:val="24"/>
        </w:rPr>
        <w:t>.’</w:t>
      </w:r>
    </w:p>
    <w:p w:rsidR="00F764E8" w:rsidRPr="00F764E8" w:rsidRDefault="00F764E8" w:rsidP="00F764E8">
      <w:pPr>
        <w:ind w:left="360"/>
        <w:rPr>
          <w:szCs w:val="24"/>
        </w:rPr>
      </w:pPr>
      <w:r w:rsidRPr="00F764E8">
        <w:rPr>
          <w:szCs w:val="24"/>
        </w:rPr>
        <w:t>All instances of bribery, including the possibility of bribery, and any concerns should be reported to</w:t>
      </w:r>
      <w:r w:rsidR="004A1C4E">
        <w:rPr>
          <w:szCs w:val="24"/>
        </w:rPr>
        <w:t xml:space="preserve"> a Director.</w:t>
      </w:r>
    </w:p>
    <w:p w:rsidR="00F764E8" w:rsidRPr="004A1C4E" w:rsidRDefault="00F764E8" w:rsidP="00F764E8">
      <w:pPr>
        <w:ind w:left="360"/>
        <w:rPr>
          <w:b/>
          <w:szCs w:val="24"/>
        </w:rPr>
      </w:pPr>
      <w:r w:rsidRPr="004A1C4E">
        <w:rPr>
          <w:b/>
          <w:szCs w:val="24"/>
        </w:rPr>
        <w:t>Training and Communication</w:t>
      </w:r>
    </w:p>
    <w:p w:rsidR="00F764E8" w:rsidRPr="00F764E8" w:rsidRDefault="00F764E8" w:rsidP="00F764E8">
      <w:pPr>
        <w:ind w:left="360"/>
        <w:rPr>
          <w:szCs w:val="24"/>
        </w:rPr>
      </w:pPr>
      <w:r w:rsidRPr="00F764E8">
        <w:rPr>
          <w:szCs w:val="24"/>
        </w:rPr>
        <w:t xml:space="preserve">A copy of the policy will be published on the </w:t>
      </w:r>
      <w:r w:rsidR="0024587C">
        <w:rPr>
          <w:szCs w:val="24"/>
        </w:rPr>
        <w:t>Westdale Group</w:t>
      </w:r>
      <w:r w:rsidR="004A1C4E">
        <w:rPr>
          <w:szCs w:val="24"/>
        </w:rPr>
        <w:t xml:space="preserve"> SHEQ Management System. All</w:t>
      </w:r>
      <w:r w:rsidRPr="00F764E8">
        <w:rPr>
          <w:szCs w:val="24"/>
        </w:rPr>
        <w:t xml:space="preserve"> staff are expected to familiarise themselves with the Anti Bribery Policy.</w:t>
      </w:r>
      <w:r w:rsidR="004A1C4E">
        <w:rPr>
          <w:szCs w:val="24"/>
        </w:rPr>
        <w:t xml:space="preserve"> </w:t>
      </w:r>
      <w:r w:rsidRPr="00F764E8">
        <w:rPr>
          <w:szCs w:val="24"/>
        </w:rPr>
        <w:t>Changes to the policy and procedures will be communicated to staff in an appropriate manner.</w:t>
      </w:r>
    </w:p>
    <w:p w:rsidR="00F764E8" w:rsidRPr="00F764E8" w:rsidRDefault="00F764E8" w:rsidP="004A1C4E">
      <w:pPr>
        <w:ind w:left="360"/>
        <w:rPr>
          <w:szCs w:val="24"/>
        </w:rPr>
      </w:pPr>
      <w:r w:rsidRPr="00F764E8">
        <w:rPr>
          <w:szCs w:val="24"/>
        </w:rPr>
        <w:t xml:space="preserve">This policy is not confidential: Staff are encouraged to disclose and refer to </w:t>
      </w:r>
      <w:r w:rsidR="0024587C">
        <w:rPr>
          <w:szCs w:val="24"/>
        </w:rPr>
        <w:t>Westdale Group</w:t>
      </w:r>
      <w:r w:rsidR="004A1C4E">
        <w:rPr>
          <w:szCs w:val="24"/>
        </w:rPr>
        <w:t xml:space="preserve"> </w:t>
      </w:r>
      <w:r w:rsidRPr="00F764E8">
        <w:rPr>
          <w:szCs w:val="24"/>
        </w:rPr>
        <w:t>Bribery Policy in their dealings with other parties, especially dealing with potential new business.</w:t>
      </w:r>
    </w:p>
    <w:p w:rsidR="00F764E8" w:rsidRPr="00F764E8" w:rsidRDefault="0024587C" w:rsidP="00F764E8">
      <w:pPr>
        <w:ind w:left="360"/>
        <w:rPr>
          <w:szCs w:val="24"/>
        </w:rPr>
      </w:pPr>
      <w:r>
        <w:rPr>
          <w:szCs w:val="24"/>
        </w:rPr>
        <w:t>Westdale Group</w:t>
      </w:r>
      <w:r w:rsidR="00F764E8" w:rsidRPr="00F764E8">
        <w:rPr>
          <w:szCs w:val="24"/>
        </w:rPr>
        <w:t xml:space="preserve"> treats breaches of the Bribery Policy seriously and will investigate any potential breach in accordance with the disciplinary policy. The ultimate sanction for a breach of policy will be summary dismissal for gross misconduct</w:t>
      </w:r>
      <w:r w:rsidR="004A1C4E">
        <w:rPr>
          <w:szCs w:val="24"/>
        </w:rPr>
        <w:t>.</w:t>
      </w:r>
      <w:r w:rsidR="00F764E8" w:rsidRPr="00F764E8">
        <w:rPr>
          <w:szCs w:val="24"/>
        </w:rPr>
        <w:t xml:space="preserve"> </w:t>
      </w:r>
    </w:p>
    <w:sectPr w:rsidR="00F764E8" w:rsidRPr="00F764E8" w:rsidSect="00FE5070">
      <w:headerReference w:type="even" r:id="rId8"/>
      <w:headerReference w:type="default" r:id="rId9"/>
      <w:footerReference w:type="even" r:id="rId10"/>
      <w:footerReference w:type="default" r:id="rId11"/>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57" w:rsidRDefault="003E3A57" w:rsidP="00C25F35">
      <w:pPr>
        <w:spacing w:after="0" w:line="240" w:lineRule="auto"/>
      </w:pPr>
      <w:r>
        <w:separator/>
      </w:r>
    </w:p>
  </w:endnote>
  <w:endnote w:type="continuationSeparator" w:id="0">
    <w:p w:rsidR="003E3A57" w:rsidRDefault="003E3A57" w:rsidP="00C2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4D" w:rsidRDefault="00BB484D">
    <w:pPr>
      <w:pStyle w:val="Footer"/>
    </w:pPr>
  </w:p>
  <w:p w:rsidR="00245038" w:rsidRDefault="002450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239181"/>
      <w:docPartObj>
        <w:docPartGallery w:val="Page Numbers (Bottom of Page)"/>
        <w:docPartUnique/>
      </w:docPartObj>
    </w:sdtPr>
    <w:sdtEndPr/>
    <w:sdtContent>
      <w:sdt>
        <w:sdtPr>
          <w:id w:val="-1705238520"/>
          <w:docPartObj>
            <w:docPartGallery w:val="Page Numbers (Top of Page)"/>
            <w:docPartUnique/>
          </w:docPartObj>
        </w:sdtPr>
        <w:sdtEndPr/>
        <w:sdtContent>
          <w:p w:rsidR="00FE5070" w:rsidRDefault="00FE5070" w:rsidP="00FE5070">
            <w:pPr>
              <w:pStyle w:val="Footer"/>
              <w:spacing w:line="276" w:lineRule="auto"/>
              <w:jc w:val="center"/>
              <w:rPr>
                <w:b/>
                <w:bCs/>
                <w:sz w:val="24"/>
                <w:szCs w:val="24"/>
              </w:rPr>
            </w:pPr>
            <w:r w:rsidRPr="00FE5070">
              <w:rPr>
                <w:b/>
              </w:rPr>
              <w:t xml:space="preserve">Page </w:t>
            </w:r>
            <w:r w:rsidRPr="00FE5070">
              <w:rPr>
                <w:b/>
                <w:bCs/>
                <w:sz w:val="24"/>
                <w:szCs w:val="24"/>
              </w:rPr>
              <w:fldChar w:fldCharType="begin"/>
            </w:r>
            <w:r w:rsidRPr="00FE5070">
              <w:rPr>
                <w:b/>
                <w:bCs/>
              </w:rPr>
              <w:instrText xml:space="preserve"> PAGE </w:instrText>
            </w:r>
            <w:r w:rsidRPr="00FE5070">
              <w:rPr>
                <w:b/>
                <w:bCs/>
                <w:sz w:val="24"/>
                <w:szCs w:val="24"/>
              </w:rPr>
              <w:fldChar w:fldCharType="separate"/>
            </w:r>
            <w:r w:rsidR="00893DE6">
              <w:rPr>
                <w:b/>
                <w:bCs/>
                <w:noProof/>
              </w:rPr>
              <w:t>3</w:t>
            </w:r>
            <w:r w:rsidRPr="00FE5070">
              <w:rPr>
                <w:b/>
                <w:bCs/>
                <w:sz w:val="24"/>
                <w:szCs w:val="24"/>
              </w:rPr>
              <w:fldChar w:fldCharType="end"/>
            </w:r>
            <w:r w:rsidRPr="00FE5070">
              <w:rPr>
                <w:b/>
              </w:rPr>
              <w:t xml:space="preserve"> of </w:t>
            </w:r>
            <w:r w:rsidRPr="00FE5070">
              <w:rPr>
                <w:b/>
                <w:bCs/>
                <w:sz w:val="24"/>
                <w:szCs w:val="24"/>
              </w:rPr>
              <w:fldChar w:fldCharType="begin"/>
            </w:r>
            <w:r w:rsidRPr="00FE5070">
              <w:rPr>
                <w:b/>
                <w:bCs/>
              </w:rPr>
              <w:instrText xml:space="preserve"> NUMPAGES  </w:instrText>
            </w:r>
            <w:r w:rsidRPr="00FE5070">
              <w:rPr>
                <w:b/>
                <w:bCs/>
                <w:sz w:val="24"/>
                <w:szCs w:val="24"/>
              </w:rPr>
              <w:fldChar w:fldCharType="separate"/>
            </w:r>
            <w:r w:rsidR="00893DE6">
              <w:rPr>
                <w:b/>
                <w:bCs/>
                <w:noProof/>
              </w:rPr>
              <w:t>3</w:t>
            </w:r>
            <w:r w:rsidRPr="00FE5070">
              <w:rPr>
                <w:b/>
                <w:bCs/>
                <w:sz w:val="24"/>
                <w:szCs w:val="24"/>
              </w:rPr>
              <w:fldChar w:fldCharType="end"/>
            </w:r>
          </w:p>
          <w:p w:rsidR="00FE5070" w:rsidRDefault="00FE5070" w:rsidP="00FE5070">
            <w:pPr>
              <w:pStyle w:val="Footer"/>
              <w:spacing w:line="276" w:lineRule="auto"/>
              <w:jc w:val="center"/>
            </w:pPr>
            <w:r w:rsidRPr="00FE5070">
              <w:rPr>
                <w:b/>
                <w:bCs/>
                <w:color w:val="FF0000"/>
                <w:sz w:val="24"/>
                <w:szCs w:val="24"/>
                <w:u w:val="single"/>
              </w:rPr>
              <w:t>Uncontrolled when printe</w:t>
            </w:r>
            <w:r w:rsidRPr="00441EF5">
              <w:rPr>
                <w:b/>
                <w:bCs/>
                <w:color w:val="FF0000"/>
                <w:sz w:val="24"/>
                <w:szCs w:val="24"/>
                <w:u w:val="single"/>
              </w:rPr>
              <w:t>d</w:t>
            </w:r>
            <w:r w:rsidRPr="00441EF5">
              <w:rPr>
                <w:b/>
                <w:bCs/>
                <w:color w:val="FF0000"/>
                <w:sz w:val="24"/>
                <w:szCs w:val="24"/>
              </w:rPr>
              <w:t>.</w:t>
            </w:r>
          </w:p>
        </w:sdtContent>
      </w:sdt>
    </w:sdtContent>
  </w:sdt>
  <w:p w:rsidR="00245038" w:rsidRDefault="002450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57" w:rsidRDefault="003E3A57" w:rsidP="00C25F35">
      <w:pPr>
        <w:spacing w:after="0" w:line="240" w:lineRule="auto"/>
      </w:pPr>
      <w:r>
        <w:separator/>
      </w:r>
    </w:p>
  </w:footnote>
  <w:footnote w:type="continuationSeparator" w:id="0">
    <w:p w:rsidR="003E3A57" w:rsidRDefault="003E3A57" w:rsidP="00C2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4D" w:rsidRDefault="00BB484D">
    <w:pPr>
      <w:pStyle w:val="Header"/>
    </w:pPr>
  </w:p>
  <w:p w:rsidR="00245038" w:rsidRDefault="002450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68"/>
      <w:gridCol w:w="1766"/>
      <w:gridCol w:w="4356"/>
      <w:gridCol w:w="2566"/>
    </w:tblGrid>
    <w:tr w:rsidR="00BB484D" w:rsidTr="00120564">
      <w:tc>
        <w:tcPr>
          <w:tcW w:w="1769" w:type="dxa"/>
          <w:tcBorders>
            <w:right w:val="nil"/>
          </w:tcBorders>
        </w:tcPr>
        <w:p w:rsidR="00BB484D" w:rsidRPr="00C25F35" w:rsidRDefault="00BB484D" w:rsidP="00BB484D">
          <w:pPr>
            <w:pStyle w:val="Header"/>
            <w:spacing w:line="276" w:lineRule="auto"/>
            <w:rPr>
              <w:b/>
              <w:sz w:val="24"/>
            </w:rPr>
          </w:pPr>
          <w:r w:rsidRPr="00C25F35">
            <w:rPr>
              <w:b/>
              <w:sz w:val="24"/>
            </w:rPr>
            <w:t xml:space="preserve">Date: </w:t>
          </w:r>
        </w:p>
      </w:tc>
      <w:tc>
        <w:tcPr>
          <w:tcW w:w="1770" w:type="dxa"/>
          <w:tcBorders>
            <w:left w:val="nil"/>
          </w:tcBorders>
        </w:tcPr>
        <w:p w:rsidR="00BB484D" w:rsidRPr="00BB484D" w:rsidRDefault="00857EE9" w:rsidP="00B44876">
          <w:pPr>
            <w:pStyle w:val="Header"/>
            <w:spacing w:line="276" w:lineRule="auto"/>
            <w:rPr>
              <w:sz w:val="24"/>
            </w:rPr>
          </w:pPr>
          <w:r>
            <w:rPr>
              <w:sz w:val="24"/>
            </w:rPr>
            <w:t>21/07/2020</w:t>
          </w:r>
        </w:p>
      </w:tc>
      <w:tc>
        <w:tcPr>
          <w:tcW w:w="4394" w:type="dxa"/>
          <w:vMerge w:val="restart"/>
        </w:tcPr>
        <w:p w:rsidR="00BB484D" w:rsidRPr="00C25F35" w:rsidRDefault="00BB484D" w:rsidP="00C25F35">
          <w:pPr>
            <w:pStyle w:val="Header"/>
            <w:jc w:val="center"/>
            <w:rPr>
              <w:b/>
              <w:sz w:val="24"/>
            </w:rPr>
          </w:pPr>
          <w:r w:rsidRPr="00C25F35">
            <w:rPr>
              <w:b/>
              <w:sz w:val="24"/>
            </w:rPr>
            <w:t>Title:</w:t>
          </w:r>
        </w:p>
        <w:p w:rsidR="00BB484D" w:rsidRPr="00C25F35" w:rsidRDefault="00BB484D" w:rsidP="00C25F35">
          <w:pPr>
            <w:pStyle w:val="Header"/>
            <w:jc w:val="center"/>
            <w:rPr>
              <w:b/>
              <w:sz w:val="24"/>
            </w:rPr>
          </w:pPr>
        </w:p>
        <w:p w:rsidR="00BB484D" w:rsidRPr="00C25F35" w:rsidRDefault="004A1C4E" w:rsidP="00C25F35">
          <w:pPr>
            <w:pStyle w:val="Header"/>
            <w:jc w:val="center"/>
            <w:rPr>
              <w:b/>
              <w:sz w:val="24"/>
            </w:rPr>
          </w:pPr>
          <w:r>
            <w:rPr>
              <w:b/>
              <w:sz w:val="24"/>
            </w:rPr>
            <w:t>Bribery</w:t>
          </w:r>
        </w:p>
      </w:tc>
      <w:tc>
        <w:tcPr>
          <w:tcW w:w="2410" w:type="dxa"/>
          <w:vMerge w:val="restart"/>
          <w:vAlign w:val="center"/>
        </w:tcPr>
        <w:p w:rsidR="00BB484D" w:rsidRPr="00C25F35" w:rsidRDefault="00857EE9" w:rsidP="00C25F35">
          <w:pPr>
            <w:pStyle w:val="Header"/>
            <w:jc w:val="right"/>
            <w:rPr>
              <w:b/>
              <w:sz w:val="24"/>
            </w:rPr>
          </w:pPr>
          <w:r>
            <w:rPr>
              <w:b/>
              <w:noProof/>
              <w:sz w:val="24"/>
            </w:rPr>
            <w:drawing>
              <wp:inline distT="0" distB="0" distL="0" distR="0">
                <wp:extent cx="1492297" cy="350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dale Group Logo.png"/>
                        <pic:cNvPicPr/>
                      </pic:nvPicPr>
                      <pic:blipFill>
                        <a:blip r:embed="rId1">
                          <a:extLst>
                            <a:ext uri="{28A0092B-C50C-407E-A947-70E740481C1C}">
                              <a14:useLocalDpi xmlns:a14="http://schemas.microsoft.com/office/drawing/2010/main" val="0"/>
                            </a:ext>
                          </a:extLst>
                        </a:blip>
                        <a:stretch>
                          <a:fillRect/>
                        </a:stretch>
                      </pic:blipFill>
                      <pic:spPr>
                        <a:xfrm>
                          <a:off x="0" y="0"/>
                          <a:ext cx="1492297" cy="350224"/>
                        </a:xfrm>
                        <a:prstGeom prst="rect">
                          <a:avLst/>
                        </a:prstGeom>
                      </pic:spPr>
                    </pic:pic>
                  </a:graphicData>
                </a:graphic>
              </wp:inline>
            </w:drawing>
          </w:r>
        </w:p>
      </w:tc>
    </w:tr>
    <w:tr w:rsidR="00BB484D" w:rsidTr="00120564">
      <w:tc>
        <w:tcPr>
          <w:tcW w:w="1769" w:type="dxa"/>
          <w:tcBorders>
            <w:right w:val="nil"/>
          </w:tcBorders>
        </w:tcPr>
        <w:p w:rsidR="00BB484D" w:rsidRPr="00C25F35" w:rsidRDefault="00BB484D" w:rsidP="00DD2800">
          <w:pPr>
            <w:pStyle w:val="Header"/>
            <w:spacing w:line="276" w:lineRule="auto"/>
            <w:rPr>
              <w:b/>
              <w:sz w:val="24"/>
            </w:rPr>
          </w:pPr>
          <w:r w:rsidRPr="00C25F35">
            <w:rPr>
              <w:b/>
              <w:sz w:val="24"/>
            </w:rPr>
            <w:t xml:space="preserve">Revision: </w:t>
          </w:r>
        </w:p>
      </w:tc>
      <w:tc>
        <w:tcPr>
          <w:tcW w:w="1770" w:type="dxa"/>
          <w:tcBorders>
            <w:left w:val="nil"/>
          </w:tcBorders>
        </w:tcPr>
        <w:p w:rsidR="00BB484D" w:rsidRPr="00BB484D" w:rsidRDefault="00857EE9" w:rsidP="00DD2800">
          <w:pPr>
            <w:pStyle w:val="Header"/>
            <w:spacing w:line="276" w:lineRule="auto"/>
            <w:rPr>
              <w:sz w:val="24"/>
            </w:rPr>
          </w:pPr>
          <w:r>
            <w:rPr>
              <w:sz w:val="24"/>
            </w:rPr>
            <w:t>2</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r w:rsidR="00BB484D" w:rsidTr="00120564">
      <w:tc>
        <w:tcPr>
          <w:tcW w:w="1769" w:type="dxa"/>
          <w:tcBorders>
            <w:right w:val="nil"/>
          </w:tcBorders>
        </w:tcPr>
        <w:p w:rsidR="00BB484D" w:rsidRPr="00C25F35" w:rsidRDefault="00BB484D" w:rsidP="00DD2800">
          <w:pPr>
            <w:pStyle w:val="Header"/>
            <w:spacing w:line="276" w:lineRule="auto"/>
            <w:rPr>
              <w:b/>
              <w:sz w:val="24"/>
            </w:rPr>
          </w:pPr>
          <w:r w:rsidRPr="00C25F35">
            <w:rPr>
              <w:b/>
              <w:sz w:val="24"/>
            </w:rPr>
            <w:t xml:space="preserve">Responsibility: </w:t>
          </w:r>
        </w:p>
      </w:tc>
      <w:tc>
        <w:tcPr>
          <w:tcW w:w="1770" w:type="dxa"/>
          <w:tcBorders>
            <w:left w:val="nil"/>
          </w:tcBorders>
        </w:tcPr>
        <w:p w:rsidR="00BB484D" w:rsidRPr="00BB484D" w:rsidRDefault="004A1C4E" w:rsidP="00DD2800">
          <w:pPr>
            <w:pStyle w:val="Header"/>
            <w:spacing w:line="276" w:lineRule="auto"/>
            <w:rPr>
              <w:sz w:val="24"/>
            </w:rPr>
          </w:pPr>
          <w:r>
            <w:rPr>
              <w:sz w:val="24"/>
            </w:rPr>
            <w:t>HR</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r w:rsidR="00BB484D" w:rsidTr="00120564">
      <w:tc>
        <w:tcPr>
          <w:tcW w:w="1769" w:type="dxa"/>
          <w:tcBorders>
            <w:right w:val="nil"/>
          </w:tcBorders>
        </w:tcPr>
        <w:p w:rsidR="00BB484D" w:rsidRPr="00C25F35" w:rsidRDefault="00BB484D" w:rsidP="00B44876">
          <w:pPr>
            <w:pStyle w:val="Header"/>
            <w:spacing w:line="276" w:lineRule="auto"/>
            <w:rPr>
              <w:b/>
              <w:sz w:val="24"/>
            </w:rPr>
          </w:pPr>
          <w:r w:rsidRPr="00C25F35">
            <w:rPr>
              <w:b/>
              <w:sz w:val="24"/>
            </w:rPr>
            <w:t xml:space="preserve">Document Ref: </w:t>
          </w:r>
        </w:p>
      </w:tc>
      <w:tc>
        <w:tcPr>
          <w:tcW w:w="1770" w:type="dxa"/>
          <w:tcBorders>
            <w:left w:val="nil"/>
          </w:tcBorders>
        </w:tcPr>
        <w:p w:rsidR="00BB484D" w:rsidRPr="00BB484D" w:rsidRDefault="00E56CB8" w:rsidP="00B44876">
          <w:pPr>
            <w:pStyle w:val="Header"/>
            <w:spacing w:line="276" w:lineRule="auto"/>
            <w:rPr>
              <w:sz w:val="24"/>
            </w:rPr>
          </w:pPr>
          <w:r>
            <w:rPr>
              <w:sz w:val="24"/>
            </w:rPr>
            <w:t>HR 07</w:t>
          </w:r>
        </w:p>
      </w:tc>
      <w:tc>
        <w:tcPr>
          <w:tcW w:w="4394" w:type="dxa"/>
          <w:vMerge/>
        </w:tcPr>
        <w:p w:rsidR="00BB484D" w:rsidRPr="00C25F35" w:rsidRDefault="00BB484D">
          <w:pPr>
            <w:pStyle w:val="Header"/>
            <w:rPr>
              <w:b/>
              <w:sz w:val="24"/>
            </w:rPr>
          </w:pPr>
        </w:p>
      </w:tc>
      <w:tc>
        <w:tcPr>
          <w:tcW w:w="2410" w:type="dxa"/>
          <w:vMerge/>
        </w:tcPr>
        <w:p w:rsidR="00BB484D" w:rsidRPr="00C25F35" w:rsidRDefault="00BB484D">
          <w:pPr>
            <w:pStyle w:val="Header"/>
            <w:rPr>
              <w:b/>
              <w:sz w:val="24"/>
            </w:rPr>
          </w:pPr>
        </w:p>
      </w:tc>
    </w:tr>
  </w:tbl>
  <w:p w:rsidR="00245038" w:rsidRDefault="002450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719"/>
    <w:multiLevelType w:val="hybridMultilevel"/>
    <w:tmpl w:val="EC123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F6656"/>
    <w:multiLevelType w:val="hybridMultilevel"/>
    <w:tmpl w:val="74E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2E71"/>
    <w:multiLevelType w:val="hybridMultilevel"/>
    <w:tmpl w:val="6E182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A7687"/>
    <w:multiLevelType w:val="hybridMultilevel"/>
    <w:tmpl w:val="BCDE2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E6FB0"/>
    <w:multiLevelType w:val="hybridMultilevel"/>
    <w:tmpl w:val="E7FE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0907"/>
    <w:multiLevelType w:val="hybridMultilevel"/>
    <w:tmpl w:val="F9C2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64E2D"/>
    <w:multiLevelType w:val="hybridMultilevel"/>
    <w:tmpl w:val="D11A6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4345C2"/>
    <w:multiLevelType w:val="hybridMultilevel"/>
    <w:tmpl w:val="E638A1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6335D"/>
    <w:multiLevelType w:val="hybridMultilevel"/>
    <w:tmpl w:val="78DE3980"/>
    <w:lvl w:ilvl="0" w:tplc="99F85EFE">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A6009D"/>
    <w:multiLevelType w:val="hybridMultilevel"/>
    <w:tmpl w:val="A134CA62"/>
    <w:lvl w:ilvl="0" w:tplc="99F85EF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41EE9"/>
    <w:multiLevelType w:val="hybridMultilevel"/>
    <w:tmpl w:val="F96ADBFA"/>
    <w:lvl w:ilvl="0" w:tplc="FCF4CA7E">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D456F"/>
    <w:multiLevelType w:val="hybridMultilevel"/>
    <w:tmpl w:val="0DB6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F3D55"/>
    <w:multiLevelType w:val="hybridMultilevel"/>
    <w:tmpl w:val="BBC2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33729"/>
    <w:multiLevelType w:val="hybridMultilevel"/>
    <w:tmpl w:val="B3B6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8205A"/>
    <w:multiLevelType w:val="hybridMultilevel"/>
    <w:tmpl w:val="38D6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D5FE6"/>
    <w:multiLevelType w:val="hybridMultilevel"/>
    <w:tmpl w:val="EC9245EE"/>
    <w:lvl w:ilvl="0" w:tplc="0809000F">
      <w:start w:val="1"/>
      <w:numFmt w:val="decimal"/>
      <w:lvlText w:val="%1."/>
      <w:lvlJc w:val="left"/>
      <w:pPr>
        <w:ind w:left="720" w:hanging="360"/>
      </w:pPr>
    </w:lvl>
    <w:lvl w:ilvl="1" w:tplc="2BEA3C7C">
      <w:start w:val="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A0EA6"/>
    <w:multiLevelType w:val="hybridMultilevel"/>
    <w:tmpl w:val="3D90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94D41"/>
    <w:multiLevelType w:val="hybridMultilevel"/>
    <w:tmpl w:val="FD462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6587F"/>
    <w:multiLevelType w:val="hybridMultilevel"/>
    <w:tmpl w:val="70B2D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67742"/>
    <w:multiLevelType w:val="hybridMultilevel"/>
    <w:tmpl w:val="BBC2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D19B3"/>
    <w:multiLevelType w:val="hybridMultilevel"/>
    <w:tmpl w:val="0F6CE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0"/>
  </w:num>
  <w:num w:numId="4">
    <w:abstractNumId w:val="16"/>
  </w:num>
  <w:num w:numId="5">
    <w:abstractNumId w:val="13"/>
  </w:num>
  <w:num w:numId="6">
    <w:abstractNumId w:val="11"/>
  </w:num>
  <w:num w:numId="7">
    <w:abstractNumId w:val="5"/>
  </w:num>
  <w:num w:numId="8">
    <w:abstractNumId w:val="4"/>
  </w:num>
  <w:num w:numId="9">
    <w:abstractNumId w:val="1"/>
  </w:num>
  <w:num w:numId="10">
    <w:abstractNumId w:val="2"/>
  </w:num>
  <w:num w:numId="11">
    <w:abstractNumId w:val="3"/>
  </w:num>
  <w:num w:numId="12">
    <w:abstractNumId w:val="7"/>
  </w:num>
  <w:num w:numId="13">
    <w:abstractNumId w:val="14"/>
  </w:num>
  <w:num w:numId="14">
    <w:abstractNumId w:val="19"/>
  </w:num>
  <w:num w:numId="15">
    <w:abstractNumId w:val="18"/>
  </w:num>
  <w:num w:numId="16">
    <w:abstractNumId w:val="6"/>
  </w:num>
  <w:num w:numId="17">
    <w:abstractNumId w:val="12"/>
  </w:num>
  <w:num w:numId="18">
    <w:abstractNumId w:val="17"/>
  </w:num>
  <w:num w:numId="19">
    <w:abstractNumId w:val="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35"/>
    <w:rsid w:val="0007031E"/>
    <w:rsid w:val="00083E53"/>
    <w:rsid w:val="000F5045"/>
    <w:rsid w:val="0011567B"/>
    <w:rsid w:val="00120564"/>
    <w:rsid w:val="001436DA"/>
    <w:rsid w:val="00175C91"/>
    <w:rsid w:val="00190D9D"/>
    <w:rsid w:val="001B1D95"/>
    <w:rsid w:val="00245038"/>
    <w:rsid w:val="0024587C"/>
    <w:rsid w:val="0026276B"/>
    <w:rsid w:val="002A7B39"/>
    <w:rsid w:val="002D666A"/>
    <w:rsid w:val="002F10E8"/>
    <w:rsid w:val="00324391"/>
    <w:rsid w:val="00354EAC"/>
    <w:rsid w:val="00387C3E"/>
    <w:rsid w:val="003932A1"/>
    <w:rsid w:val="003E3A57"/>
    <w:rsid w:val="003F638B"/>
    <w:rsid w:val="00441EF5"/>
    <w:rsid w:val="0045130C"/>
    <w:rsid w:val="004A0BB2"/>
    <w:rsid w:val="004A1C4E"/>
    <w:rsid w:val="005528AB"/>
    <w:rsid w:val="00610A90"/>
    <w:rsid w:val="00623CF0"/>
    <w:rsid w:val="00624293"/>
    <w:rsid w:val="0066392F"/>
    <w:rsid w:val="006A0AE1"/>
    <w:rsid w:val="006B09BB"/>
    <w:rsid w:val="007077E6"/>
    <w:rsid w:val="00724DBE"/>
    <w:rsid w:val="00726121"/>
    <w:rsid w:val="007D4924"/>
    <w:rsid w:val="00857EE9"/>
    <w:rsid w:val="00892414"/>
    <w:rsid w:val="00893DE6"/>
    <w:rsid w:val="008B44B7"/>
    <w:rsid w:val="008E6DF7"/>
    <w:rsid w:val="00940856"/>
    <w:rsid w:val="00954397"/>
    <w:rsid w:val="00A56595"/>
    <w:rsid w:val="00A74AB8"/>
    <w:rsid w:val="00AF7941"/>
    <w:rsid w:val="00B177BD"/>
    <w:rsid w:val="00B41567"/>
    <w:rsid w:val="00B415EF"/>
    <w:rsid w:val="00B44876"/>
    <w:rsid w:val="00B9393C"/>
    <w:rsid w:val="00BB484D"/>
    <w:rsid w:val="00C25F35"/>
    <w:rsid w:val="00C35A7D"/>
    <w:rsid w:val="00C61F9E"/>
    <w:rsid w:val="00C63189"/>
    <w:rsid w:val="00CC2865"/>
    <w:rsid w:val="00CE2202"/>
    <w:rsid w:val="00D14BB1"/>
    <w:rsid w:val="00D53AB7"/>
    <w:rsid w:val="00D82967"/>
    <w:rsid w:val="00DB2F5C"/>
    <w:rsid w:val="00DB55F9"/>
    <w:rsid w:val="00DD2800"/>
    <w:rsid w:val="00DF1F5A"/>
    <w:rsid w:val="00E27C32"/>
    <w:rsid w:val="00E56CB8"/>
    <w:rsid w:val="00E91CF9"/>
    <w:rsid w:val="00EA2B72"/>
    <w:rsid w:val="00EB4468"/>
    <w:rsid w:val="00F07C20"/>
    <w:rsid w:val="00F242F7"/>
    <w:rsid w:val="00F71634"/>
    <w:rsid w:val="00F750CB"/>
    <w:rsid w:val="00F764E8"/>
    <w:rsid w:val="00F926C5"/>
    <w:rsid w:val="00F9627C"/>
    <w:rsid w:val="00FA6609"/>
    <w:rsid w:val="00FC1030"/>
    <w:rsid w:val="00FC31DE"/>
    <w:rsid w:val="00FC6538"/>
    <w:rsid w:val="00FE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B10B4-B973-4140-9FBC-1A53011E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35"/>
  </w:style>
  <w:style w:type="paragraph" w:styleId="Footer">
    <w:name w:val="footer"/>
    <w:basedOn w:val="Normal"/>
    <w:link w:val="FooterChar"/>
    <w:uiPriority w:val="99"/>
    <w:unhideWhenUsed/>
    <w:rsid w:val="00C25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35"/>
  </w:style>
  <w:style w:type="table" w:styleId="TableGrid">
    <w:name w:val="Table Grid"/>
    <w:basedOn w:val="TableNormal"/>
    <w:uiPriority w:val="39"/>
    <w:rsid w:val="00C2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800"/>
    <w:pPr>
      <w:ind w:left="720"/>
      <w:contextualSpacing/>
    </w:pPr>
  </w:style>
  <w:style w:type="paragraph" w:styleId="BalloonText">
    <w:name w:val="Balloon Text"/>
    <w:basedOn w:val="Normal"/>
    <w:link w:val="BalloonTextChar"/>
    <w:uiPriority w:val="99"/>
    <w:semiHidden/>
    <w:unhideWhenUsed/>
    <w:rsid w:val="0044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WSLTD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Kailum Gilleece</cp:lastModifiedBy>
  <cp:revision>4</cp:revision>
  <cp:lastPrinted>2016-07-27T15:39:00Z</cp:lastPrinted>
  <dcterms:created xsi:type="dcterms:W3CDTF">2021-03-10T11:34:00Z</dcterms:created>
  <dcterms:modified xsi:type="dcterms:W3CDTF">2021-08-19T13:40:00Z</dcterms:modified>
</cp:coreProperties>
</file>